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13CA00" w14:textId="77777777" w:rsidR="00A4548C" w:rsidRPr="00236249" w:rsidRDefault="00A4548C" w:rsidP="00A4548C">
      <w:pPr>
        <w:jc w:val="both"/>
        <w:rPr>
          <w:rFonts w:ascii="Arial" w:hAnsi="Arial"/>
          <w:sz w:val="22"/>
          <w:szCs w:val="22"/>
          <w:lang w:val="en-US"/>
        </w:rPr>
      </w:pPr>
      <w:r w:rsidRPr="00236249">
        <w:rPr>
          <w:rFonts w:ascii="Arial" w:hAnsi="Arial"/>
          <w:b/>
          <w:sz w:val="22"/>
          <w:szCs w:val="22"/>
          <w:lang w:val="en-US"/>
        </w:rPr>
        <w:t>Supplementary Figure 1.</w:t>
      </w:r>
      <w:r w:rsidRPr="00236249">
        <w:rPr>
          <w:rFonts w:ascii="Arial" w:hAnsi="Arial"/>
          <w:sz w:val="22"/>
          <w:szCs w:val="22"/>
          <w:lang w:val="en-US"/>
        </w:rPr>
        <w:t xml:space="preserve"> Percentage of osteoporotic patients by department in the hospitalized sub-population. The horizontal line represented the mean percentage in the hospitalized sub-population. The percentage in the X axe legend after the name of the department represent the % of DEXA performed by the department regards to the total number of DEXA performed in the hospitalized sub-population.</w:t>
      </w:r>
    </w:p>
    <w:p w14:paraId="35BB6801" w14:textId="77777777" w:rsidR="00A4548C" w:rsidRDefault="00A4548C">
      <w:bookmarkStart w:id="0" w:name="_GoBack"/>
      <w:bookmarkEnd w:id="0"/>
    </w:p>
    <w:sectPr w:rsidR="00A454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48C"/>
    <w:rsid w:val="00A45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CD390"/>
  <w15:chartTrackingRefBased/>
  <w15:docId w15:val="{031BBE5F-D381-4D7C-A418-F8A40A2A6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548C"/>
    <w:pPr>
      <w:spacing w:after="0" w:line="240" w:lineRule="auto"/>
    </w:pPr>
    <w:rPr>
      <w:rFonts w:eastAsiaTheme="minorEastAsia"/>
      <w:sz w:val="24"/>
      <w:szCs w:val="24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2019-11-13T17:01:00Z</dcterms:created>
  <dcterms:modified xsi:type="dcterms:W3CDTF">2019-11-13T17:01:00Z</dcterms:modified>
</cp:coreProperties>
</file>